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16 May 2022</w:t>
      </w:r>
    </w:p>
    <w:p w14:paraId="00000002" w14:textId="77777777" w:rsidR="00594BAF" w:rsidRDefault="00FD7367">
      <w:pPr>
        <w:pStyle w:val="Heading1"/>
        <w:keepNext w:val="0"/>
        <w:keepLines w:val="0"/>
        <w:spacing w:before="480"/>
        <w:rPr>
          <w:rFonts w:ascii="Times New Roman" w:eastAsia="Times New Roman" w:hAnsi="Times New Roman" w:cs="Times New Roman"/>
          <w:b/>
          <w:color w:val="222222"/>
          <w:sz w:val="24"/>
          <w:szCs w:val="24"/>
          <w:u w:val="single"/>
        </w:rPr>
      </w:pPr>
      <w:bookmarkStart w:id="0" w:name="_fknr71rjt0me" w:colFirst="0" w:colLast="0"/>
      <w:bookmarkEnd w:id="0"/>
      <w:r>
        <w:rPr>
          <w:rFonts w:ascii="Times New Roman" w:eastAsia="Times New Roman" w:hAnsi="Times New Roman" w:cs="Times New Roman"/>
          <w:b/>
          <w:color w:val="222222"/>
          <w:sz w:val="24"/>
          <w:szCs w:val="24"/>
        </w:rPr>
        <w:t>Cambodia Should Scrap Rights-Abusing National Internet Gateway</w:t>
      </w:r>
    </w:p>
    <w:p w14:paraId="00000003"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4"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We, the follow</w:t>
      </w:r>
      <w:r>
        <w:rPr>
          <w:rFonts w:ascii="Times New Roman" w:eastAsia="Times New Roman" w:hAnsi="Times New Roman" w:cs="Times New Roman"/>
          <w:sz w:val="24"/>
          <w:szCs w:val="24"/>
        </w:rPr>
        <w:t>ing 32</w:t>
      </w:r>
      <w:r>
        <w:rPr>
          <w:rFonts w:ascii="Times New Roman" w:eastAsia="Times New Roman" w:hAnsi="Times New Roman" w:cs="Times New Roman"/>
          <w:sz w:val="24"/>
          <w:szCs w:val="24"/>
        </w:rPr>
        <w:t xml:space="preserve"> human rights organizations, call on the Cambodian authorities to revoke the Sub-Decree on the Establishment of the National Internet Gateway (NIG). Since passage of the sub-decree on February 16, 2021, the government has yet to address the serious human r</w:t>
      </w:r>
      <w:r>
        <w:rPr>
          <w:rFonts w:ascii="Times New Roman" w:eastAsia="Times New Roman" w:hAnsi="Times New Roman" w:cs="Times New Roman"/>
          <w:sz w:val="24"/>
          <w:szCs w:val="24"/>
        </w:rPr>
        <w:t>ights concerns raised by</w:t>
      </w:r>
      <w:hyperlink r:id="rId5">
        <w:r>
          <w:rPr>
            <w:rFonts w:ascii="Times New Roman" w:eastAsia="Times New Roman" w:hAnsi="Times New Roman" w:cs="Times New Roman"/>
            <w:sz w:val="24"/>
            <w:szCs w:val="24"/>
          </w:rPr>
          <w:t xml:space="preserve"> </w:t>
        </w:r>
      </w:hyperlink>
      <w:hyperlink r:id="rId6">
        <w:r>
          <w:rPr>
            <w:rFonts w:ascii="Times New Roman" w:eastAsia="Times New Roman" w:hAnsi="Times New Roman" w:cs="Times New Roman"/>
            <w:color w:val="0563C1"/>
            <w:sz w:val="24"/>
            <w:szCs w:val="24"/>
            <w:u w:val="single"/>
          </w:rPr>
          <w:t>civil society</w:t>
        </w:r>
      </w:hyperlink>
      <w:r>
        <w:rPr>
          <w:rFonts w:ascii="Times New Roman" w:eastAsia="Times New Roman" w:hAnsi="Times New Roman" w:cs="Times New Roman"/>
          <w:sz w:val="24"/>
          <w:szCs w:val="24"/>
        </w:rPr>
        <w:t xml:space="preserve"> groups and tech companies. </w:t>
      </w:r>
      <w:r>
        <w:rPr>
          <w:rFonts w:ascii="Times New Roman" w:eastAsia="Times New Roman" w:hAnsi="Times New Roman" w:cs="Times New Roman"/>
          <w:sz w:val="24"/>
          <w:szCs w:val="24"/>
        </w:rPr>
        <w:t>At the same time, the government has been wholly non-transparent regarding the infrastructure, implementation, financing, and cooperating companies, agencies, and organizations involved in supporting the NIG.</w:t>
      </w:r>
    </w:p>
    <w:p w14:paraId="00000005"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6"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NIG sub-decree paves the way for the esta</w:t>
      </w:r>
      <w:r>
        <w:rPr>
          <w:rFonts w:ascii="Times New Roman" w:eastAsia="Times New Roman" w:hAnsi="Times New Roman" w:cs="Times New Roman"/>
          <w:sz w:val="24"/>
          <w:szCs w:val="24"/>
        </w:rPr>
        <w:t>blishment of a digital gateway to manage all internet traffic into and out of Cambodia. Provisions in the sub-decree allow government-appointed NIG operators to block or disconnect any online connections (article 6), retain traffic data for a year and prov</w:t>
      </w:r>
      <w:r>
        <w:rPr>
          <w:rFonts w:ascii="Times New Roman" w:eastAsia="Times New Roman" w:hAnsi="Times New Roman" w:cs="Times New Roman"/>
          <w:sz w:val="24"/>
          <w:szCs w:val="24"/>
        </w:rPr>
        <w:t>ide other network information as requested by authorities (article 14), and issue overbroad penalties for non-compliant telecommunications operators (article 16).</w:t>
      </w:r>
    </w:p>
    <w:p w14:paraId="00000007"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bookmarkStart w:id="1" w:name="_GoBack"/>
      <w:bookmarkEnd w:id="1"/>
    </w:p>
    <w:p w14:paraId="00000008"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sub-decree states that the purpose of the NIG is to facilitate and manage internet conn</w:t>
      </w:r>
      <w:r>
        <w:rPr>
          <w:rFonts w:ascii="Times New Roman" w:eastAsia="Times New Roman" w:hAnsi="Times New Roman" w:cs="Times New Roman"/>
          <w:sz w:val="24"/>
          <w:szCs w:val="24"/>
        </w:rPr>
        <w:t>ections to strengthen revenue collection, protect national security, and -- in terms that are overbroad, ambiguous, and prone to misuse -- to “preserve social order, culture, and national tradition” (article 1).</w:t>
      </w:r>
    </w:p>
    <w:p w14:paraId="00000009"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A"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While the exact technical infrastructure a</w:t>
      </w:r>
      <w:r>
        <w:rPr>
          <w:rFonts w:ascii="Times New Roman" w:eastAsia="Times New Roman" w:hAnsi="Times New Roman" w:cs="Times New Roman"/>
          <w:sz w:val="24"/>
          <w:szCs w:val="24"/>
        </w:rPr>
        <w:t>nd how it will be operated is still unknown, there is little doubt the NIG’s true purpose is to enable the Cambodian government to tighten the noose on what remains of internet freedom in the country.</w:t>
      </w:r>
    </w:p>
    <w:p w14:paraId="0000000B"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C"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April 2021, three independent experts appointed by</w:t>
      </w:r>
      <w:r>
        <w:rPr>
          <w:rFonts w:ascii="Times New Roman" w:eastAsia="Times New Roman" w:hAnsi="Times New Roman" w:cs="Times New Roman"/>
          <w:sz w:val="24"/>
          <w:szCs w:val="24"/>
        </w:rPr>
        <w:t xml:space="preserve"> the UN Human Rights Council</w:t>
      </w:r>
      <w:hyperlink r:id="rId7">
        <w:r>
          <w:rPr>
            <w:rFonts w:ascii="Times New Roman" w:eastAsia="Times New Roman" w:hAnsi="Times New Roman" w:cs="Times New Roman"/>
            <w:sz w:val="24"/>
            <w:szCs w:val="24"/>
          </w:rPr>
          <w:t xml:space="preserve"> </w:t>
        </w:r>
      </w:hyperlink>
      <w:hyperlink r:id="rId8">
        <w:r>
          <w:rPr>
            <w:rFonts w:ascii="Times New Roman" w:eastAsia="Times New Roman" w:hAnsi="Times New Roman" w:cs="Times New Roman"/>
            <w:color w:val="0563C1"/>
            <w:sz w:val="24"/>
            <w:szCs w:val="24"/>
            <w:u w:val="single"/>
          </w:rPr>
          <w:t>expressed</w:t>
        </w:r>
      </w:hyperlink>
      <w:r>
        <w:rPr>
          <w:rFonts w:ascii="Times New Roman" w:eastAsia="Times New Roman" w:hAnsi="Times New Roman" w:cs="Times New Roman"/>
          <w:sz w:val="24"/>
          <w:szCs w:val="24"/>
        </w:rPr>
        <w:t xml:space="preserve"> con</w:t>
      </w:r>
      <w:r>
        <w:rPr>
          <w:rFonts w:ascii="Times New Roman" w:eastAsia="Times New Roman" w:hAnsi="Times New Roman" w:cs="Times New Roman"/>
          <w:sz w:val="24"/>
          <w:szCs w:val="24"/>
        </w:rPr>
        <w:t>cerns that the sub-decree “poses risks to the fundamental freedoms of individuals, namely the freedoms of expression and opinion and the right to privacy and may expose individuals’ personal information without their consent, which would contravene interna</w:t>
      </w:r>
      <w:r>
        <w:rPr>
          <w:rFonts w:ascii="Times New Roman" w:eastAsia="Times New Roman" w:hAnsi="Times New Roman" w:cs="Times New Roman"/>
          <w:sz w:val="24"/>
          <w:szCs w:val="24"/>
        </w:rPr>
        <w:t>tional human rights instruments and Cambodian laws.”  They</w:t>
      </w:r>
      <w:hyperlink r:id="rId9">
        <w:r>
          <w:rPr>
            <w:rFonts w:ascii="Times New Roman" w:eastAsia="Times New Roman" w:hAnsi="Times New Roman" w:cs="Times New Roman"/>
            <w:sz w:val="24"/>
            <w:szCs w:val="24"/>
          </w:rPr>
          <w:t xml:space="preserve"> </w:t>
        </w:r>
      </w:hyperlink>
      <w:hyperlink r:id="rId10">
        <w:r>
          <w:rPr>
            <w:rFonts w:ascii="Times New Roman" w:eastAsia="Times New Roman" w:hAnsi="Times New Roman" w:cs="Times New Roman"/>
            <w:color w:val="0563C1"/>
            <w:sz w:val="24"/>
            <w:szCs w:val="24"/>
            <w:u w:val="single"/>
          </w:rPr>
          <w:t>reiterated</w:t>
        </w:r>
      </w:hyperlink>
      <w:r>
        <w:rPr>
          <w:rFonts w:ascii="Times New Roman" w:eastAsia="Times New Roman" w:hAnsi="Times New Roman" w:cs="Times New Roman"/>
          <w:sz w:val="24"/>
          <w:szCs w:val="24"/>
        </w:rPr>
        <w:t xml:space="preserve"> this call to the government on February 1 2022, warning that the NIG “will have a serious negative impact on internet freedom, human rights defenders and civil society in the country, further shrinking the already-restrictive civic space in C</w:t>
      </w:r>
      <w:r>
        <w:rPr>
          <w:rFonts w:ascii="Times New Roman" w:eastAsia="Times New Roman" w:hAnsi="Times New Roman" w:cs="Times New Roman"/>
          <w:sz w:val="24"/>
          <w:szCs w:val="24"/>
        </w:rPr>
        <w:t>ambodia.”</w:t>
      </w:r>
    </w:p>
    <w:p w14:paraId="0000000D"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E"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Cambodia is a party to the</w:t>
      </w:r>
      <w:hyperlink r:id="rId11">
        <w:r>
          <w:rPr>
            <w:rFonts w:ascii="Times New Roman" w:eastAsia="Times New Roman" w:hAnsi="Times New Roman" w:cs="Times New Roman"/>
            <w:sz w:val="24"/>
            <w:szCs w:val="24"/>
          </w:rPr>
          <w:t xml:space="preserve"> </w:t>
        </w:r>
      </w:hyperlink>
      <w:hyperlink r:id="rId12">
        <w:r>
          <w:rPr>
            <w:rFonts w:ascii="Times New Roman" w:eastAsia="Times New Roman" w:hAnsi="Times New Roman" w:cs="Times New Roman"/>
            <w:color w:val="0563C1"/>
            <w:sz w:val="24"/>
            <w:szCs w:val="24"/>
            <w:u w:val="single"/>
          </w:rPr>
          <w:t>International Covenant on Civil and Political Rights (ICCPR)</w:t>
        </w:r>
      </w:hyperlink>
      <w:r>
        <w:rPr>
          <w:rFonts w:ascii="Times New Roman" w:eastAsia="Times New Roman" w:hAnsi="Times New Roman" w:cs="Times New Roman"/>
          <w:sz w:val="24"/>
          <w:szCs w:val="24"/>
        </w:rPr>
        <w:t>. Article 17 of the ICCPR protects the right of every individual</w:t>
      </w:r>
      <w:r>
        <w:rPr>
          <w:rFonts w:ascii="Times New Roman" w:eastAsia="Times New Roman" w:hAnsi="Times New Roman" w:cs="Times New Roman"/>
          <w:sz w:val="24"/>
          <w:szCs w:val="24"/>
        </w:rPr>
        <w:t xml:space="preserve"> against arbitrary or unlawful interference with his or her privacy. Article 19 of the ICCPR protects the right to freedom of expression. This right includes the “freedom to seek, receive, and impart information and ideas of all kinds.”  Any measures the s</w:t>
      </w:r>
      <w:r>
        <w:rPr>
          <w:rFonts w:ascii="Times New Roman" w:eastAsia="Times New Roman" w:hAnsi="Times New Roman" w:cs="Times New Roman"/>
          <w:sz w:val="24"/>
          <w:szCs w:val="24"/>
        </w:rPr>
        <w:t xml:space="preserve">tate takes that would interfere with these rights must be provided for by law, be </w:t>
      </w:r>
      <w:r>
        <w:rPr>
          <w:rFonts w:ascii="Times New Roman" w:eastAsia="Times New Roman" w:hAnsi="Times New Roman" w:cs="Times New Roman"/>
          <w:sz w:val="24"/>
          <w:szCs w:val="24"/>
        </w:rPr>
        <w:lastRenderedPageBreak/>
        <w:t>non-discriminatory, and be strictly necessary and proportionate to protect the rights of others, national security, public order or public health or morals.</w:t>
      </w:r>
    </w:p>
    <w:p w14:paraId="0000000F"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0"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government </w:t>
      </w:r>
      <w:r>
        <w:rPr>
          <w:rFonts w:ascii="Times New Roman" w:eastAsia="Times New Roman" w:hAnsi="Times New Roman" w:cs="Times New Roman"/>
          <w:sz w:val="24"/>
          <w:szCs w:val="24"/>
        </w:rPr>
        <w:t>has repeatedly</w:t>
      </w:r>
      <w:hyperlink r:id="rId13">
        <w:r>
          <w:rPr>
            <w:rFonts w:ascii="Times New Roman" w:eastAsia="Times New Roman" w:hAnsi="Times New Roman" w:cs="Times New Roman"/>
            <w:sz w:val="24"/>
            <w:szCs w:val="24"/>
          </w:rPr>
          <w:t xml:space="preserve"> </w:t>
        </w:r>
      </w:hyperlink>
      <w:hyperlink r:id="rId14">
        <w:r>
          <w:rPr>
            <w:rFonts w:ascii="Times New Roman" w:eastAsia="Times New Roman" w:hAnsi="Times New Roman" w:cs="Times New Roman"/>
            <w:color w:val="0563C1"/>
            <w:sz w:val="24"/>
            <w:szCs w:val="24"/>
            <w:u w:val="single"/>
          </w:rPr>
          <w:t>rejected</w:t>
        </w:r>
      </w:hyperlink>
      <w:r>
        <w:rPr>
          <w:rFonts w:ascii="Times New Roman" w:eastAsia="Times New Roman" w:hAnsi="Times New Roman" w:cs="Times New Roman"/>
          <w:sz w:val="24"/>
          <w:szCs w:val="24"/>
        </w:rPr>
        <w:t xml:space="preserve"> all human rights concerns about the NIG. The government has also refused to explain how the NIG’s restrictions on freedom of expression and access to </w:t>
      </w:r>
      <w:r>
        <w:rPr>
          <w:rFonts w:ascii="Times New Roman" w:eastAsia="Times New Roman" w:hAnsi="Times New Roman" w:cs="Times New Roman"/>
          <w:sz w:val="24"/>
          <w:szCs w:val="24"/>
        </w:rPr>
        <w:t xml:space="preserve">information are necessary to achieve any of the legitimate aims, and failed to address the lack of proportionality of the measures. Instead, the internet gateway is poised to restrict these rights in an overly broad manner, without any apparent limits. As </w:t>
      </w:r>
      <w:r>
        <w:rPr>
          <w:rFonts w:ascii="Times New Roman" w:eastAsia="Times New Roman" w:hAnsi="Times New Roman" w:cs="Times New Roman"/>
          <w:sz w:val="24"/>
          <w:szCs w:val="24"/>
        </w:rPr>
        <w:t>UN experts, tech company representatives, and human rights advocates have pointed out, the sub-decree lacks procedural safeguards, independent oversight, and data and privacy protections.</w:t>
      </w:r>
    </w:p>
    <w:p w14:paraId="00000011"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2"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There are grave concerns that the gateway will supercharge the gov</w:t>
      </w:r>
      <w:r>
        <w:rPr>
          <w:rFonts w:ascii="Times New Roman" w:eastAsia="Times New Roman" w:hAnsi="Times New Roman" w:cs="Times New Roman"/>
          <w:sz w:val="24"/>
          <w:szCs w:val="24"/>
        </w:rPr>
        <w:t xml:space="preserve">ernment’s censorship capabilities, allowing it to scale up its website blocking. The gateway is also likely to have a chilling effect on online communications and generate self-censorship online among critical voices and independent media outlets who fear </w:t>
      </w:r>
      <w:r>
        <w:rPr>
          <w:rFonts w:ascii="Times New Roman" w:eastAsia="Times New Roman" w:hAnsi="Times New Roman" w:cs="Times New Roman"/>
          <w:sz w:val="24"/>
          <w:szCs w:val="24"/>
        </w:rPr>
        <w:t>increased surveillance, harassment, and reprisals.</w:t>
      </w:r>
    </w:p>
    <w:p w14:paraId="00000013"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4"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sub-decree poses risks to data protection and data privacy, requiring government gateway operators to retain and share metadata. In the absence of a data protection law in Cambodia that would protect</w:t>
      </w:r>
      <w:r>
        <w:rPr>
          <w:rFonts w:ascii="Times New Roman" w:eastAsia="Times New Roman" w:hAnsi="Times New Roman" w:cs="Times New Roman"/>
          <w:sz w:val="24"/>
          <w:szCs w:val="24"/>
        </w:rPr>
        <w:t xml:space="preserve"> internet users from misuse of their data and provide certainty about where and how long data is retained, and who has access to it, the NIG will facilitate the authorities’ ability to identify users’ internet activities and habits, ultimately risking iden</w:t>
      </w:r>
      <w:r>
        <w:rPr>
          <w:rFonts w:ascii="Times New Roman" w:eastAsia="Times New Roman" w:hAnsi="Times New Roman" w:cs="Times New Roman"/>
          <w:sz w:val="24"/>
          <w:szCs w:val="24"/>
        </w:rPr>
        <w:t>tifying the users themselves. Data retention without sufficient protection for data security will increase risks to data security from third-party interference, or hackers. Centralizing internet traffic and data under the NIG also creates a vulnerability f</w:t>
      </w:r>
      <w:r>
        <w:rPr>
          <w:rFonts w:ascii="Times New Roman" w:eastAsia="Times New Roman" w:hAnsi="Times New Roman" w:cs="Times New Roman"/>
          <w:sz w:val="24"/>
          <w:szCs w:val="24"/>
        </w:rPr>
        <w:t>or malicious acts, without guaranteeing service providers’ capacity to adequately address the resultant increase in data security needs.</w:t>
      </w:r>
    </w:p>
    <w:p w14:paraId="00000015"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6"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 press statement issued on February 15, 2022, Cambodia’s Ministry of Foreign Affairs</w:t>
      </w:r>
      <w:hyperlink r:id="rId15">
        <w:r>
          <w:rPr>
            <w:rFonts w:ascii="Times New Roman" w:eastAsia="Times New Roman" w:hAnsi="Times New Roman" w:cs="Times New Roman"/>
            <w:sz w:val="24"/>
            <w:szCs w:val="24"/>
          </w:rPr>
          <w:t xml:space="preserve"> </w:t>
        </w:r>
      </w:hyperlink>
      <w:hyperlink r:id="rId16">
        <w:r>
          <w:rPr>
            <w:rFonts w:ascii="Times New Roman" w:eastAsia="Times New Roman" w:hAnsi="Times New Roman" w:cs="Times New Roman"/>
            <w:color w:val="0563C1"/>
            <w:sz w:val="24"/>
            <w:szCs w:val="24"/>
            <w:u w:val="single"/>
          </w:rPr>
          <w:t>claimed</w:t>
        </w:r>
      </w:hyperlink>
      <w:r>
        <w:rPr>
          <w:rFonts w:ascii="Times New Roman" w:eastAsia="Times New Roman" w:hAnsi="Times New Roman" w:cs="Times New Roman"/>
          <w:sz w:val="24"/>
          <w:szCs w:val="24"/>
        </w:rPr>
        <w:t xml:space="preserve"> that it had conducted an “extensive study on infrastructure models from different countries around the world and found that most countries have internet gateways.</w:t>
      </w:r>
      <w:r>
        <w:rPr>
          <w:rFonts w:ascii="Times New Roman" w:eastAsia="Times New Roman" w:hAnsi="Times New Roman" w:cs="Times New Roman"/>
          <w:sz w:val="24"/>
          <w:szCs w:val="24"/>
        </w:rPr>
        <w:t>” No information has been provided to back these sweeping assertions, such as which infrastructure models the authorities considered, what their benefits and disadvantages are, and whether the study was done with reference to Cambodia’s human rights obliga</w:t>
      </w:r>
      <w:r>
        <w:rPr>
          <w:rFonts w:ascii="Times New Roman" w:eastAsia="Times New Roman" w:hAnsi="Times New Roman" w:cs="Times New Roman"/>
          <w:sz w:val="24"/>
          <w:szCs w:val="24"/>
        </w:rPr>
        <w:t>tions under various international human rights treaties.</w:t>
      </w:r>
    </w:p>
    <w:p w14:paraId="00000017"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8"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Cambodia, the government’s rushed adoption process of the sub-decree establishing the NIG was plagued by a lack of transparency. The authorities failed to hold any consultations, much less wide </w:t>
      </w:r>
      <w:r>
        <w:rPr>
          <w:rFonts w:ascii="Times New Roman" w:eastAsia="Times New Roman" w:hAnsi="Times New Roman" w:cs="Times New Roman"/>
          <w:sz w:val="24"/>
          <w:szCs w:val="24"/>
        </w:rPr>
        <w:t>and inclusive ones, and did not invite inputs by experts, civil society groups, private actors, business groups, and other interested parties prior to the sub-decree’s adoption. The NIG appears designed to function as an authoritarian tool that will facili</w:t>
      </w:r>
      <w:r>
        <w:rPr>
          <w:rFonts w:ascii="Times New Roman" w:eastAsia="Times New Roman" w:hAnsi="Times New Roman" w:cs="Times New Roman"/>
          <w:sz w:val="24"/>
          <w:szCs w:val="24"/>
        </w:rPr>
        <w:t xml:space="preserve">tate the government’s efforts to curtail free expression, association and privacy online as well as offline, and facilitate </w:t>
      </w:r>
      <w:r>
        <w:rPr>
          <w:rFonts w:ascii="Times New Roman" w:eastAsia="Times New Roman" w:hAnsi="Times New Roman" w:cs="Times New Roman"/>
          <w:sz w:val="24"/>
          <w:szCs w:val="24"/>
        </w:rPr>
        <w:lastRenderedPageBreak/>
        <w:t>targeting of online expression by members of civil society, independent media, and the political opposition.</w:t>
      </w:r>
    </w:p>
    <w:p w14:paraId="00000019"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A"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On February 15, 2022,</w:t>
      </w:r>
      <w:r>
        <w:rPr>
          <w:rFonts w:ascii="Times New Roman" w:eastAsia="Times New Roman" w:hAnsi="Times New Roman" w:cs="Times New Roman"/>
          <w:sz w:val="24"/>
          <w:szCs w:val="24"/>
        </w:rPr>
        <w:t xml:space="preserve"> the government revealed that implementation of the NIG, set to start the next day, would be delayed. No new date for the NIG implementation has been set. A spokesperson for the Ministry of Posts and Telecommunications</w:t>
      </w:r>
      <w:hyperlink r:id="rId17">
        <w:r>
          <w:rPr>
            <w:rFonts w:ascii="Times New Roman" w:eastAsia="Times New Roman" w:hAnsi="Times New Roman" w:cs="Times New Roman"/>
            <w:sz w:val="24"/>
            <w:szCs w:val="24"/>
          </w:rPr>
          <w:t xml:space="preserve"> </w:t>
        </w:r>
      </w:hyperlink>
      <w:hyperlink r:id="rId18">
        <w:r>
          <w:rPr>
            <w:rFonts w:ascii="Times New Roman" w:eastAsia="Times New Roman" w:hAnsi="Times New Roman" w:cs="Times New Roman"/>
            <w:color w:val="0563C1"/>
            <w:sz w:val="24"/>
            <w:szCs w:val="24"/>
            <w:u w:val="single"/>
          </w:rPr>
          <w:t>told the news outlet Nikkei Asia</w:t>
        </w:r>
      </w:hyperlink>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on February </w:t>
      </w:r>
      <w:r>
        <w:rPr>
          <w:rFonts w:ascii="Times New Roman" w:eastAsia="Times New Roman" w:hAnsi="Times New Roman" w:cs="Times New Roman"/>
          <w:sz w:val="24"/>
          <w:szCs w:val="24"/>
        </w:rPr>
        <w:t>15 that the delay was due to the Covid-19 pandemic. However, another ministry spokesperson</w:t>
      </w:r>
      <w:hyperlink r:id="rId19">
        <w:r>
          <w:rPr>
            <w:rFonts w:ascii="Times New Roman" w:eastAsia="Times New Roman" w:hAnsi="Times New Roman" w:cs="Times New Roman"/>
            <w:sz w:val="24"/>
            <w:szCs w:val="24"/>
          </w:rPr>
          <w:t xml:space="preserve"> </w:t>
        </w:r>
      </w:hyperlink>
      <w:hyperlink r:id="rId20">
        <w:r>
          <w:rPr>
            <w:rFonts w:ascii="Times New Roman" w:eastAsia="Times New Roman" w:hAnsi="Times New Roman" w:cs="Times New Roman"/>
            <w:color w:val="0563C1"/>
            <w:sz w:val="24"/>
            <w:szCs w:val="24"/>
            <w:u w:val="single"/>
          </w:rPr>
          <w:t>told the news outlet VOD</w:t>
        </w:r>
      </w:hyperlink>
      <w:r>
        <w:rPr>
          <w:rFonts w:ascii="Times New Roman" w:eastAsia="Times New Roman" w:hAnsi="Times New Roman" w:cs="Times New Roman"/>
          <w:sz w:val="24"/>
          <w:szCs w:val="24"/>
        </w:rPr>
        <w:t xml:space="preserve"> that technical difficulties in implementing the NIG was the cause of the delay, stating that “we have to prepare to install and order equipment in order to prepare and create the gateway. And we hav</w:t>
      </w:r>
      <w:r>
        <w:rPr>
          <w:rFonts w:ascii="Times New Roman" w:eastAsia="Times New Roman" w:hAnsi="Times New Roman" w:cs="Times New Roman"/>
          <w:sz w:val="24"/>
          <w:szCs w:val="24"/>
        </w:rPr>
        <w:t>e to give licenses to any company that the government understands that has the ability to create the gateway.”</w:t>
      </w:r>
    </w:p>
    <w:p w14:paraId="0000001B"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C"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Cambodia’s internet gateway greatly risks restricting the free flow of information between Cambodia and the rest of the world while establishing a system that will cast a wide net of surveillance across the country. Foreign governments, technology and tele</w:t>
      </w:r>
      <w:r>
        <w:rPr>
          <w:rFonts w:ascii="Times New Roman" w:eastAsia="Times New Roman" w:hAnsi="Times New Roman" w:cs="Times New Roman"/>
          <w:sz w:val="24"/>
          <w:szCs w:val="24"/>
        </w:rPr>
        <w:t>communications companies, internet service providers, business groups, UN agencies and others concerned should come together to seek to halt this wholesale attempt at information control.</w:t>
      </w:r>
    </w:p>
    <w:p w14:paraId="0000001D" w14:textId="77777777" w:rsidR="00594BAF" w:rsidRDefault="00FD736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E"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Signatories</w:t>
      </w:r>
    </w:p>
    <w:p w14:paraId="0000001F"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0"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Access Now</w:t>
      </w:r>
    </w:p>
    <w:p w14:paraId="00000021"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Amnesty International</w:t>
      </w:r>
    </w:p>
    <w:p w14:paraId="00000022"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ARTICLE 19</w:t>
      </w:r>
    </w:p>
    <w:p w14:paraId="00000023"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ASEAN Parliamentarians for Human Rights (APHR)</w:t>
      </w:r>
    </w:p>
    <w:p w14:paraId="00000024"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Asia Democracy Network (ADN)</w:t>
      </w:r>
    </w:p>
    <w:p w14:paraId="00000025" w14:textId="77777777" w:rsidR="00594BAF" w:rsidRDefault="00FD7367">
      <w:pP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Association for Progressive Communication (APC)</w:t>
      </w:r>
    </w:p>
    <w:p w14:paraId="00000026" w14:textId="77777777" w:rsidR="00594BAF" w:rsidRDefault="00FD7367">
      <w:pP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Bangladesh NGOs Network for Radio and Communication (BNNRC)</w:t>
      </w:r>
    </w:p>
    <w:p w14:paraId="00000027"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highlight w:val="white"/>
        </w:rPr>
        <w:t>Campaign for Human Rights and Development International (CHRDI)</w:t>
      </w:r>
    </w:p>
    <w:p w14:paraId="00000028"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Centre f</w:t>
      </w:r>
      <w:r>
        <w:rPr>
          <w:rFonts w:ascii="Times New Roman" w:eastAsia="Times New Roman" w:hAnsi="Times New Roman" w:cs="Times New Roman"/>
          <w:b/>
          <w:sz w:val="24"/>
          <w:szCs w:val="24"/>
        </w:rPr>
        <w:t>or Civil and Political Rights (CCPR Centre)</w:t>
      </w:r>
    </w:p>
    <w:p w14:paraId="00000029"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CIVICUS: World Alliance for Citizen Participation</w:t>
      </w:r>
    </w:p>
    <w:p w14:paraId="0000002A"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Civil Rights Defenders</w:t>
      </w:r>
    </w:p>
    <w:p w14:paraId="0000002B"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Committee to Protect Journalists (CPJ)</w:t>
      </w:r>
    </w:p>
    <w:p w14:paraId="0000002C"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Digital Reach Asia</w:t>
      </w:r>
    </w:p>
    <w:p w14:paraId="0000002D"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Electronic Frontiers Foundation (EFF)</w:t>
      </w:r>
    </w:p>
    <w:p w14:paraId="0000002E"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ELSAM: Institute for Policy Research and Ad</w:t>
      </w:r>
      <w:r>
        <w:rPr>
          <w:rFonts w:ascii="Times New Roman" w:eastAsia="Times New Roman" w:hAnsi="Times New Roman" w:cs="Times New Roman"/>
          <w:b/>
          <w:sz w:val="24"/>
          <w:szCs w:val="24"/>
        </w:rPr>
        <w:t>vocacy</w:t>
      </w:r>
    </w:p>
    <w:p w14:paraId="0000002F"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Freemuse</w:t>
      </w:r>
    </w:p>
    <w:p w14:paraId="00000030"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Foundation for Media Alternatives</w:t>
      </w:r>
    </w:p>
    <w:p w14:paraId="00000031"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FORUM-ASIA</w:t>
      </w:r>
    </w:p>
    <w:p w14:paraId="00000032"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Japan Computer Access Network (JCA-NET)</w:t>
      </w:r>
    </w:p>
    <w:p w14:paraId="00000033"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Human Rights Watch</w:t>
      </w:r>
    </w:p>
    <w:p w14:paraId="00000034"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International Commission of Jurists (ICJ)</w:t>
      </w:r>
    </w:p>
    <w:p w14:paraId="00000035"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International Federation for Human Rights (FIDH)</w:t>
      </w:r>
    </w:p>
    <w:p w14:paraId="00000036"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International Freedom of Expression Exchange </w:t>
      </w:r>
      <w:r>
        <w:rPr>
          <w:rFonts w:ascii="Times New Roman" w:eastAsia="Times New Roman" w:hAnsi="Times New Roman" w:cs="Times New Roman"/>
          <w:b/>
          <w:sz w:val="24"/>
          <w:szCs w:val="24"/>
        </w:rPr>
        <w:t>(IFEX)</w:t>
      </w:r>
    </w:p>
    <w:p w14:paraId="00000037"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Lawyers’ Rights Watch Canada (LRWC)</w:t>
      </w:r>
    </w:p>
    <w:p w14:paraId="00000038"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Manushya Foundation </w:t>
      </w:r>
    </w:p>
    <w:p w14:paraId="00000039"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Open Net Association</w:t>
      </w:r>
    </w:p>
    <w:p w14:paraId="0000003A"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PEN America</w:t>
      </w:r>
    </w:p>
    <w:p w14:paraId="0000003B"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Ranking Digital Rights</w:t>
      </w:r>
    </w:p>
    <w:p w14:paraId="0000003C"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SAFENet – Southeast Asia Freedom of Expression Network</w:t>
      </w:r>
    </w:p>
    <w:p w14:paraId="0000003D"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Thai Netizens Network</w:t>
      </w:r>
    </w:p>
    <w:p w14:paraId="0000003E" w14:textId="77777777" w:rsidR="00594BAF"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WITNESS</w:t>
      </w:r>
    </w:p>
    <w:p w14:paraId="000000B1" w14:textId="3C5495A8" w:rsidR="00594BAF" w:rsidRPr="00FD7367" w:rsidRDefault="00FD736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World Organisation Against Torture (OMCT)</w:t>
      </w:r>
    </w:p>
    <w:sectPr w:rsidR="00594BAF" w:rsidRPr="00FD736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4177B2"/>
    <w:multiLevelType w:val="multilevel"/>
    <w:tmpl w:val="54DE43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78495944"/>
    <w:multiLevelType w:val="multilevel"/>
    <w:tmpl w:val="923202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4BAF"/>
    <w:rsid w:val="00594BAF"/>
    <w:rsid w:val="00FD7367"/>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8BA8F"/>
  <w15:docId w15:val="{45AF0168-C66D-0246-A231-0CCC52504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spcommreports.ohchr.org/TMResultsBase/DownLoadPublicCommunicationFile?gId=26263" TargetMode="External"/><Relationship Id="rId13" Type="http://schemas.openxmlformats.org/officeDocument/2006/relationships/hyperlink" Target="https://freshnewsasia.com/index.php/en/localnews/229987-2022-02-02-11-34-29.html?fbclid=IwAR3VHaN4Y6jRwcbfg7RBSyVEnpGMrVw8JUiRFV51HDMLiURAT_KXX_ba278" TargetMode="External"/><Relationship Id="rId18" Type="http://schemas.openxmlformats.org/officeDocument/2006/relationships/hyperlink" Target="https://asia.nikkei.com/Spotlight/Society/Cambodia-postpones-national-internet-gateway-plan-due-to-COVID"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spcommreports.ohchr.org/TMResultsBase/DownLoadPublicCommunicationFile?gId=26263" TargetMode="External"/><Relationship Id="rId12" Type="http://schemas.openxmlformats.org/officeDocument/2006/relationships/hyperlink" Target="https://tbinternet.ohchr.org/_layouts/15/treatybodyexternal/Download.aspx?symbolno=CCPR%2fC%2fKHM%2fCO%2f3&amp;Lang=en" TargetMode="External"/><Relationship Id="rId17" Type="http://schemas.openxmlformats.org/officeDocument/2006/relationships/hyperlink" Target="https://asia.nikkei.com/Spotlight/Society/Cambodia-postpones-national-internet-gateway-plan-due-to-COVID" TargetMode="External"/><Relationship Id="rId2" Type="http://schemas.openxmlformats.org/officeDocument/2006/relationships/styles" Target="styles.xml"/><Relationship Id="rId16" Type="http://schemas.openxmlformats.org/officeDocument/2006/relationships/hyperlink" Target="https://www.mfaic.gov.kh/posts/2022-02-15-Press-Release-Clarification-by-the-Spokesperson-of-the-Ministry-of-Foreign-Affairs-and-International-Cooperation-o-10-50-07" TargetMode="External"/><Relationship Id="rId20" Type="http://schemas.openxmlformats.org/officeDocument/2006/relationships/hyperlink" Target="https://vodenglish.news/government-puts-controversial-internet-gateway-on-hold/" TargetMode="External"/><Relationship Id="rId1" Type="http://schemas.openxmlformats.org/officeDocument/2006/relationships/numbering" Target="numbering.xml"/><Relationship Id="rId6" Type="http://schemas.openxmlformats.org/officeDocument/2006/relationships/hyperlink" Target="https://cchrcambodia.org/media/files/press_release/802_jsotnsdatloce_en.pdf" TargetMode="External"/><Relationship Id="rId11" Type="http://schemas.openxmlformats.org/officeDocument/2006/relationships/hyperlink" Target="https://tbinternet.ohchr.org/_layouts/15/treatybodyexternal/Download.aspx?symbolno=CCPR%2fC%2fKHM%2fCO%2f3&amp;Lang=en" TargetMode="External"/><Relationship Id="rId5" Type="http://schemas.openxmlformats.org/officeDocument/2006/relationships/hyperlink" Target="https://cchrcambodia.org/media/files/press_release/802_jsotnsdatloce_en.pdf" TargetMode="External"/><Relationship Id="rId15" Type="http://schemas.openxmlformats.org/officeDocument/2006/relationships/hyperlink" Target="https://www.mfaic.gov.kh/posts/2022-02-15-Press-Release-Clarification-by-the-Spokesperson-of-the-Ministry-of-Foreign-Affairs-and-International-Cooperation-o-10-50-07" TargetMode="External"/><Relationship Id="rId10" Type="http://schemas.openxmlformats.org/officeDocument/2006/relationships/hyperlink" Target="https://www.ohchr.org/EN/NewsEvents/Pages/DisplayNews.aspx?NewsID=28077&amp;LangID=E" TargetMode="External"/><Relationship Id="rId19" Type="http://schemas.openxmlformats.org/officeDocument/2006/relationships/hyperlink" Target="https://vodenglish.news/government-puts-controversial-internet-gateway-on-hold/" TargetMode="External"/><Relationship Id="rId4" Type="http://schemas.openxmlformats.org/officeDocument/2006/relationships/webSettings" Target="webSettings.xml"/><Relationship Id="rId9" Type="http://schemas.openxmlformats.org/officeDocument/2006/relationships/hyperlink" Target="https://www.ohchr.org/EN/NewsEvents/Pages/DisplayNews.aspx?NewsID=28077&amp;LangID=E" TargetMode="External"/><Relationship Id="rId14" Type="http://schemas.openxmlformats.org/officeDocument/2006/relationships/hyperlink" Target="https://freshnewsasia.com/index.php/en/localnews/229987-2022-02-02-11-34-29.html?fbclid=IwAR3VHaN4Y6jRwcbfg7RBSyVEnpGMrVw8JUiRFV51HDMLiURAT_KXX_ba278"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1545</Words>
  <Characters>8807</Characters>
  <Application>Microsoft Office Word</Application>
  <DocSecurity>0</DocSecurity>
  <Lines>73</Lines>
  <Paragraphs>20</Paragraphs>
  <ScaleCrop>false</ScaleCrop>
  <Company/>
  <LinksUpToDate>false</LinksUpToDate>
  <CharactersWithSpaces>10332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Daron Tan</cp:lastModifiedBy>
  <cp:revision>2</cp:revision>
  <dcterms:created xsi:type="dcterms:W3CDTF">2022-05-13T09:57:00Z</dcterms:created>
  <dcterms:modified xsi:type="dcterms:W3CDTF">2022-05-13T09:58:00Z</dcterms:modified>
</cp:coreProperties>
</file>